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C910" w14:textId="77777777" w:rsidR="0068014D" w:rsidRDefault="0068014D" w:rsidP="0068014D">
      <w:r>
        <w:t>Williams County – Assistant State’s Attorney</w:t>
      </w:r>
    </w:p>
    <w:p w14:paraId="65515941" w14:textId="77777777" w:rsidR="0068014D" w:rsidRDefault="0068014D" w:rsidP="0068014D">
      <w:r>
        <w:t xml:space="preserve">Apply at </w:t>
      </w:r>
      <w:hyperlink r:id="rId5" w:history="1">
        <w:r>
          <w:rPr>
            <w:rStyle w:val="Hyperlink"/>
          </w:rPr>
          <w:t>www.williamsnd.com</w:t>
        </w:r>
      </w:hyperlink>
    </w:p>
    <w:p w14:paraId="7CDA08EC" w14:textId="77777777" w:rsidR="0068014D" w:rsidRDefault="0068014D" w:rsidP="0068014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014D" w14:paraId="182D8967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</w:tcPr>
          <w:p w14:paraId="53953EAB" w14:textId="77777777" w:rsidR="0068014D" w:rsidRDefault="0068014D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Assistant State’s Attorney</w:t>
            </w:r>
          </w:p>
          <w:p w14:paraId="1F92068E" w14:textId="77777777" w:rsidR="0068014D" w:rsidRDefault="0068014D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</w:p>
          <w:p w14:paraId="401246A9" w14:textId="77777777" w:rsidR="0068014D" w:rsidRDefault="0068014D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Summary: </w:t>
            </w:r>
          </w:p>
        </w:tc>
      </w:tr>
      <w:tr w:rsidR="0068014D" w14:paraId="758C4901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CFD40" w14:textId="77777777" w:rsidR="0068014D" w:rsidRDefault="0068014D">
            <w:pPr>
              <w:spacing w:before="100" w:beforeAutospacing="1" w:after="100" w:afterAutospacing="1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Under limited supervision,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provides assistance to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the State's Attorney; prosecutes criminal offenses and represents Williams County regarding civil issues.</w:t>
            </w:r>
          </w:p>
        </w:tc>
      </w:tr>
      <w:tr w:rsidR="0068014D" w14:paraId="32FCF503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1D99384" w14:textId="77777777" w:rsidR="0068014D" w:rsidRDefault="0068014D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EXAMPLES OF DUTIES: </w:t>
            </w:r>
          </w:p>
        </w:tc>
      </w:tr>
      <w:tr w:rsidR="0068014D" w14:paraId="2E5CEB13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04790" w14:textId="77777777" w:rsidR="0068014D" w:rsidRDefault="0068014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The intent of this job description is to provide a representative summary of the primary duties and responsibilities performed by employees in this position.  Employees may not be required to perform all duties in this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description, and</w:t>
            </w:r>
            <w:proofErr w:type="gramEnd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may be required to perform position-specific tasks other than those listed in this job description.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  <w:p w14:paraId="7BD6201F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Prosecutes criminal offenses including bench and jury trials; makes all related required appearances </w:t>
            </w:r>
          </w:p>
          <w:p w14:paraId="609B4A08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Drafts briefs and submits motions regarding criminal cases </w:t>
            </w:r>
          </w:p>
          <w:p w14:paraId="40741004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Prepares criminal charges including reviewing related reports </w:t>
            </w:r>
          </w:p>
          <w:p w14:paraId="3F972DA3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Consults with law enforcement personnel regarding investigations and legal procedures </w:t>
            </w:r>
          </w:p>
          <w:p w14:paraId="25BEAB4C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Presents criminal and non-criminal juvenile petitions to the Court for adjudication and disposition </w:t>
            </w:r>
          </w:p>
          <w:p w14:paraId="1EBE375C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Provides general assistance to State's Attorney including drafting briefs and motions as requested </w:t>
            </w:r>
          </w:p>
          <w:p w14:paraId="025E9978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Presents mental health involuntary commitment petitions to the Court for consideration and disposition </w:t>
            </w:r>
          </w:p>
          <w:p w14:paraId="02324A4B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Oversees child support enforcement </w:t>
            </w:r>
          </w:p>
          <w:p w14:paraId="5E58CD7A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May fulfill duties of State's Attorney in his/her absence as required </w:t>
            </w:r>
          </w:p>
          <w:p w14:paraId="0FCFB4EF" w14:textId="77777777" w:rsidR="0068014D" w:rsidRDefault="0068014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Maintains confidentiality of non-public records and makes available all data and information deemed a public record by the North Dakota Century Code</w:t>
            </w:r>
          </w:p>
        </w:tc>
      </w:tr>
      <w:tr w:rsidR="0068014D" w14:paraId="16E8184A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DB2FEDC" w14:textId="77777777" w:rsidR="0068014D" w:rsidRDefault="0068014D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68014D" w14:paraId="60C9DBA5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8849B" w14:textId="77777777" w:rsidR="0068014D" w:rsidRDefault="0068014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Education, Experience and License/Certifications: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  <w:p w14:paraId="39041137" w14:textId="77777777" w:rsidR="0068014D" w:rsidRDefault="006801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Juris Doctorate Degree </w:t>
            </w:r>
          </w:p>
          <w:p w14:paraId="6C153BD3" w14:textId="77777777" w:rsidR="0068014D" w:rsidRDefault="006801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Preferable: two (2) years law experience </w:t>
            </w:r>
          </w:p>
          <w:p w14:paraId="05A50D7C" w14:textId="77777777" w:rsidR="0068014D" w:rsidRDefault="006801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Must be a member in good standing with the North Dakota State Bar Association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able to obtain licensing shortly after hire date </w:t>
            </w:r>
          </w:p>
          <w:p w14:paraId="2802FD07" w14:textId="77777777" w:rsidR="0068014D" w:rsidRDefault="006801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Must possess a valid North Dakota Driver's License or equivalent.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 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Special Working Conditions: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 xml:space="preserve">  </w:t>
            </w:r>
          </w:p>
          <w:p w14:paraId="15B1CB1D" w14:textId="77777777" w:rsidR="0068014D" w:rsidRDefault="0068014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Must be available to provide on-call legal assistance outside of normal work hours.</w:t>
            </w:r>
          </w:p>
        </w:tc>
      </w:tr>
      <w:tr w:rsidR="0068014D" w14:paraId="7672FCF4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3AFC270D" w14:textId="77777777" w:rsidR="0068014D" w:rsidRDefault="0068014D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68014D" w14:paraId="2E390911" w14:textId="77777777" w:rsidTr="0068014D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F17AD" w14:textId="77777777" w:rsidR="0068014D" w:rsidRDefault="0068014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Required Knowledge and Skills: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 </w:t>
            </w:r>
          </w:p>
          <w:p w14:paraId="3F1C0537" w14:textId="77777777" w:rsidR="0068014D" w:rsidRDefault="006801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Knowledge of judicial principles and practices. </w:t>
            </w:r>
          </w:p>
          <w:p w14:paraId="3100DFC1" w14:textId="77777777" w:rsidR="0068014D" w:rsidRDefault="006801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Knowledge of North Dakota and Federal case law. </w:t>
            </w:r>
          </w:p>
          <w:p w14:paraId="0994C19D" w14:textId="77777777" w:rsidR="0068014D" w:rsidRDefault="006801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t xml:space="preserve">Knowledge of criminal and civil law processes and procedures. </w:t>
            </w:r>
          </w:p>
          <w:p w14:paraId="2AD456FD" w14:textId="77777777" w:rsidR="0068014D" w:rsidRDefault="006801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Knowledge of methods used for prosecuting criminal offenses. </w:t>
            </w:r>
          </w:p>
          <w:p w14:paraId="2F19EF2B" w14:textId="77777777" w:rsidR="0068014D" w:rsidRDefault="006801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Knowledge of processes for drafting legal briefs, motions, and ordinances. </w:t>
            </w:r>
          </w:p>
          <w:p w14:paraId="10F9147F" w14:textId="77777777" w:rsidR="0068014D" w:rsidRDefault="0068014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Knowledge of procedures for presenting mental health and juvenile petitions.</w:t>
            </w:r>
          </w:p>
          <w:p w14:paraId="3E9417BD" w14:textId="77777777" w:rsidR="0068014D" w:rsidRDefault="0068014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14:paraId="525F9210" w14:textId="77777777" w:rsidR="0068014D" w:rsidRDefault="006801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Skill in successfully prosecuting criminal offenses. </w:t>
            </w:r>
          </w:p>
          <w:p w14:paraId="377358F0" w14:textId="77777777" w:rsidR="0068014D" w:rsidRDefault="006801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Skill in drafting legal documentation including briefs, motions, and ordinances. </w:t>
            </w:r>
          </w:p>
          <w:p w14:paraId="5F27C2F5" w14:textId="77777777" w:rsidR="0068014D" w:rsidRDefault="006801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Skill in consulting with law enforcement personnel regarding investigations and legal procedures. </w:t>
            </w:r>
          </w:p>
          <w:p w14:paraId="136F0DB1" w14:textId="77777777" w:rsidR="0068014D" w:rsidRDefault="006801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Skill in presenting mental health and juvenile petitions to the Court. </w:t>
            </w:r>
          </w:p>
          <w:p w14:paraId="266D0D3A" w14:textId="77777777" w:rsidR="0068014D" w:rsidRDefault="0068014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Skill in establishing and maintaining effective working relationships with County departments and personnel, County officials, law enforcement personnel, outside agencies, community groups, and members of the public.</w:t>
            </w:r>
          </w:p>
          <w:p w14:paraId="40A14050" w14:textId="77777777" w:rsidR="0068014D" w:rsidRDefault="0068014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Compensation: 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Compensation for this position is $79,000-$88,000 depending on experience and training. Williams County provides generous benefits to full-time regular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employees:</w:t>
            </w:r>
            <w:proofErr w:type="gramEnd"/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paid sick and vacation leave, a 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u w:val="single"/>
              </w:rPr>
              <w:t>fully paid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health/dental/vision benefit plan for employees and dependents, term life insurance of $25,000, 100% contribution toward retirement benefits through the ND Public Employees Retirement System, and 11 paid holidays each year. </w:t>
            </w:r>
          </w:p>
          <w:p w14:paraId="052D1987" w14:textId="77777777" w:rsidR="0068014D" w:rsidRDefault="0068014D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All offers of employment will be contingent upon successful completion of a pre-employment drug screening, background check and reference review.</w:t>
            </w:r>
          </w:p>
        </w:tc>
      </w:tr>
    </w:tbl>
    <w:p w14:paraId="60665968" w14:textId="77777777" w:rsidR="00C04508" w:rsidRDefault="00C04508"/>
    <w:sectPr w:rsidR="00C0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3301"/>
    <w:multiLevelType w:val="multilevel"/>
    <w:tmpl w:val="BA82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06CBE"/>
    <w:multiLevelType w:val="multilevel"/>
    <w:tmpl w:val="26D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37801"/>
    <w:multiLevelType w:val="multilevel"/>
    <w:tmpl w:val="36FA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00DC6"/>
    <w:multiLevelType w:val="multilevel"/>
    <w:tmpl w:val="2B4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4D"/>
    <w:rsid w:val="0068014D"/>
    <w:rsid w:val="00C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56E7"/>
  <w15:chartTrackingRefBased/>
  <w15:docId w15:val="{F9C56FF9-3B2F-4E2C-BD41-FBDE83C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%3A%2F%2Fwww.williamsnd.com%2F&amp;data=04%7C01%7Clharley%40ndaajustice.org%7C0fd2896b312d4011c95d08d8b0e6af36%7Cc45be254b58c4fc78f644397f0fbd769%7C0%7C0%7C637453852124187526%7CUnknown%7CTWFpbGZsb3d8eyJWIjoiMC4wLjAwMDAiLCJQIjoiV2luMzIiLCJBTiI6Ik1haWwiLCJXVCI6Mn0%3D%7C1000&amp;sdata=bPDM2p46glEULGqj1oS4Wlgf7OtRDjIxMCliDrUsIS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Harley</dc:creator>
  <cp:keywords/>
  <dc:description/>
  <cp:lastModifiedBy>Lauren Harley</cp:lastModifiedBy>
  <cp:revision>1</cp:revision>
  <dcterms:created xsi:type="dcterms:W3CDTF">2021-01-04T21:00:00Z</dcterms:created>
  <dcterms:modified xsi:type="dcterms:W3CDTF">2021-01-04T21:00:00Z</dcterms:modified>
</cp:coreProperties>
</file>